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01" w:rsidRDefault="00B455C2">
      <w:bookmarkStart w:id="0" w:name="_GoBack"/>
      <w:r>
        <w:rPr>
          <w:noProof/>
        </w:rPr>
        <w:drawing>
          <wp:inline distT="0" distB="0" distL="0" distR="0" wp14:anchorId="5F081A8C" wp14:editId="5CE10981">
            <wp:extent cx="8143875" cy="48006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511401" w:rsidSect="00B455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C2"/>
    <w:rsid w:val="00511401"/>
    <w:rsid w:val="00B4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058E0-B018-4E9B-A0B1-CD97854D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nlrha045.healthy.bewell.ca\Users\Public%20Health\Baby-Friendly%20Initiative\Baby-Friendly%20Initiative\Statistics\FMM%20Stats\CURRENT%20%20Infant%20Feeding%20yearly%20total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Exclusive</a:t>
            </a:r>
            <a:r>
              <a:rPr lang="en-US" baseline="0"/>
              <a:t> Breastfeeding</a:t>
            </a:r>
            <a:endParaRPr lang="en-US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'Years combined'!$B$12</c:f>
              <c:strCache>
                <c:ptCount val="1"/>
                <c:pt idx="0">
                  <c:v>2 weeks</c:v>
                </c:pt>
              </c:strCache>
            </c:strRef>
          </c:tx>
          <c:trendline>
            <c:spPr>
              <a:ln w="12700">
                <a:solidFill>
                  <a:schemeClr val="tx1"/>
                </a:solidFill>
              </a:ln>
            </c:spPr>
            <c:trendlineType val="linear"/>
            <c:dispRSqr val="0"/>
            <c:dispEq val="0"/>
          </c:trendline>
          <c:cat>
            <c:numRef>
              <c:f>'Years combined'!$C$11:$K$11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'Years combined'!$C$12:$K$12</c:f>
              <c:numCache>
                <c:formatCode>General</c:formatCode>
                <c:ptCount val="9"/>
                <c:pt idx="0">
                  <c:v>37.4</c:v>
                </c:pt>
                <c:pt idx="1">
                  <c:v>47.1</c:v>
                </c:pt>
                <c:pt idx="2">
                  <c:v>37.799999999999997</c:v>
                </c:pt>
                <c:pt idx="3">
                  <c:v>44.1</c:v>
                </c:pt>
                <c:pt idx="4">
                  <c:v>42.9</c:v>
                </c:pt>
                <c:pt idx="5">
                  <c:v>42.1</c:v>
                </c:pt>
                <c:pt idx="6">
                  <c:v>39.799999999999997</c:v>
                </c:pt>
                <c:pt idx="7">
                  <c:v>40.22</c:v>
                </c:pt>
                <c:pt idx="8">
                  <c:v>43.7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29D-4615-9D89-D67C94B926E5}"/>
            </c:ext>
          </c:extLst>
        </c:ser>
        <c:ser>
          <c:idx val="1"/>
          <c:order val="1"/>
          <c:tx>
            <c:strRef>
              <c:f>'Years combined'!$B$13</c:f>
              <c:strCache>
                <c:ptCount val="1"/>
                <c:pt idx="0">
                  <c:v>2 months</c:v>
                </c:pt>
              </c:strCache>
            </c:strRef>
          </c:tx>
          <c:trendline>
            <c:spPr>
              <a:ln>
                <a:solidFill>
                  <a:schemeClr val="tx1"/>
                </a:solidFill>
              </a:ln>
            </c:spPr>
            <c:trendlineType val="linear"/>
            <c:dispRSqr val="0"/>
            <c:dispEq val="0"/>
          </c:trendline>
          <c:cat>
            <c:numRef>
              <c:f>'Years combined'!$C$11:$K$11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'Years combined'!$C$13:$K$13</c:f>
              <c:numCache>
                <c:formatCode>General</c:formatCode>
                <c:ptCount val="9"/>
                <c:pt idx="0">
                  <c:v>30</c:v>
                </c:pt>
                <c:pt idx="1">
                  <c:v>31.8</c:v>
                </c:pt>
                <c:pt idx="2">
                  <c:v>36.700000000000003</c:v>
                </c:pt>
                <c:pt idx="3">
                  <c:v>34.4</c:v>
                </c:pt>
                <c:pt idx="4">
                  <c:v>41.51</c:v>
                </c:pt>
                <c:pt idx="5">
                  <c:v>37.9</c:v>
                </c:pt>
                <c:pt idx="6">
                  <c:v>37</c:v>
                </c:pt>
                <c:pt idx="7">
                  <c:v>35.590000000000003</c:v>
                </c:pt>
                <c:pt idx="8">
                  <c:v>37.9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29D-4615-9D89-D67C94B926E5}"/>
            </c:ext>
          </c:extLst>
        </c:ser>
        <c:ser>
          <c:idx val="2"/>
          <c:order val="2"/>
          <c:tx>
            <c:strRef>
              <c:f>'Years combined'!$B$14</c:f>
              <c:strCache>
                <c:ptCount val="1"/>
                <c:pt idx="0">
                  <c:v>4 months</c:v>
                </c:pt>
              </c:strCache>
            </c:strRef>
          </c:tx>
          <c:trendline>
            <c:spPr>
              <a:ln w="12700">
                <a:solidFill>
                  <a:schemeClr val="tx1"/>
                </a:solidFill>
              </a:ln>
            </c:spPr>
            <c:trendlineType val="linear"/>
            <c:dispRSqr val="0"/>
            <c:dispEq val="0"/>
          </c:trendline>
          <c:cat>
            <c:numRef>
              <c:f>'Years combined'!$C$11:$K$11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'Years combined'!$C$14:$K$14</c:f>
              <c:numCache>
                <c:formatCode>General</c:formatCode>
                <c:ptCount val="9"/>
                <c:pt idx="0">
                  <c:v>27.6</c:v>
                </c:pt>
                <c:pt idx="1">
                  <c:v>31.5</c:v>
                </c:pt>
                <c:pt idx="2">
                  <c:v>30.56</c:v>
                </c:pt>
                <c:pt idx="3">
                  <c:v>37.299999999999997</c:v>
                </c:pt>
                <c:pt idx="4">
                  <c:v>31.25</c:v>
                </c:pt>
                <c:pt idx="5">
                  <c:v>32.799999999999997</c:v>
                </c:pt>
                <c:pt idx="6">
                  <c:v>33.5</c:v>
                </c:pt>
                <c:pt idx="7">
                  <c:v>31.7</c:v>
                </c:pt>
                <c:pt idx="8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29D-4615-9D89-D67C94B926E5}"/>
            </c:ext>
          </c:extLst>
        </c:ser>
        <c:ser>
          <c:idx val="3"/>
          <c:order val="3"/>
          <c:tx>
            <c:strRef>
              <c:f>'Years combined'!$B$15</c:f>
              <c:strCache>
                <c:ptCount val="1"/>
                <c:pt idx="0">
                  <c:v>6 months</c:v>
                </c:pt>
              </c:strCache>
            </c:strRef>
          </c:tx>
          <c:trendline>
            <c:spPr>
              <a:ln w="12700">
                <a:solidFill>
                  <a:schemeClr val="tx1"/>
                </a:solidFill>
              </a:ln>
            </c:spPr>
            <c:trendlineType val="linear"/>
            <c:dispRSqr val="0"/>
            <c:dispEq val="0"/>
          </c:trendline>
          <c:cat>
            <c:numRef>
              <c:f>'Years combined'!$C$11:$K$11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'Years combined'!$C$15:$K$15</c:f>
              <c:numCache>
                <c:formatCode>General</c:formatCode>
                <c:ptCount val="9"/>
                <c:pt idx="0">
                  <c:v>8.9</c:v>
                </c:pt>
                <c:pt idx="1">
                  <c:v>6.7</c:v>
                </c:pt>
                <c:pt idx="2">
                  <c:v>7.12</c:v>
                </c:pt>
                <c:pt idx="3">
                  <c:v>9.1</c:v>
                </c:pt>
                <c:pt idx="4">
                  <c:v>5.88</c:v>
                </c:pt>
                <c:pt idx="5">
                  <c:v>9</c:v>
                </c:pt>
                <c:pt idx="6">
                  <c:v>10</c:v>
                </c:pt>
                <c:pt idx="7">
                  <c:v>9.6</c:v>
                </c:pt>
                <c:pt idx="8">
                  <c:v>12.8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29D-4615-9D89-D67C94B926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8955608"/>
        <c:axId val="328955216"/>
      </c:lineChart>
      <c:catAx>
        <c:axId val="3289556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28955216"/>
        <c:crosses val="autoZero"/>
        <c:auto val="1"/>
        <c:lblAlgn val="ctr"/>
        <c:lblOffset val="100"/>
        <c:noMultiLvlLbl val="0"/>
      </c:catAx>
      <c:valAx>
        <c:axId val="3289552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  <a:r>
                  <a:rPr lang="en-US" baseline="0"/>
                  <a:t> (%)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2895560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Thomson</dc:creator>
  <cp:keywords/>
  <dc:description/>
  <cp:lastModifiedBy>Melissa Thomson</cp:lastModifiedBy>
  <cp:revision>1</cp:revision>
  <dcterms:created xsi:type="dcterms:W3CDTF">2021-12-07T22:20:00Z</dcterms:created>
  <dcterms:modified xsi:type="dcterms:W3CDTF">2021-12-07T22:31:00Z</dcterms:modified>
</cp:coreProperties>
</file>